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5985" w:type="dxa"/>
        <w:tblInd w:w="-176" w:type="dxa"/>
        <w:tblLook w:val="04A0" w:firstRow="1" w:lastRow="0" w:firstColumn="1" w:lastColumn="0" w:noHBand="0" w:noVBand="1"/>
      </w:tblPr>
      <w:tblGrid>
        <w:gridCol w:w="484"/>
        <w:gridCol w:w="3877"/>
        <w:gridCol w:w="11624"/>
      </w:tblGrid>
      <w:tr w:rsidR="007F30D7" w:rsidRPr="007F30D7" w:rsidTr="00F51AFC">
        <w:trPr>
          <w:trHeight w:val="556"/>
        </w:trPr>
        <w:tc>
          <w:tcPr>
            <w:tcW w:w="484" w:type="dxa"/>
          </w:tcPr>
          <w:p w:rsidR="007F30D7" w:rsidRPr="007F30D7" w:rsidRDefault="007F30D7" w:rsidP="009B59A9">
            <w:pPr>
              <w:pStyle w:val="a3"/>
              <w:spacing w:before="643"/>
            </w:pPr>
            <w:r w:rsidRPr="007F30D7">
              <w:t>№</w:t>
            </w:r>
          </w:p>
        </w:tc>
        <w:tc>
          <w:tcPr>
            <w:tcW w:w="3877" w:type="dxa"/>
          </w:tcPr>
          <w:p w:rsidR="007F30D7" w:rsidRPr="00E62009" w:rsidRDefault="008A529D" w:rsidP="009B59A9">
            <w:pPr>
              <w:pStyle w:val="a3"/>
              <w:spacing w:before="643"/>
              <w:jc w:val="center"/>
              <w:rPr>
                <w:b/>
              </w:rPr>
            </w:pPr>
            <w:r w:rsidRPr="00E62009">
              <w:rPr>
                <w:b/>
              </w:rPr>
              <w:t>Вопрос</w:t>
            </w:r>
          </w:p>
        </w:tc>
        <w:tc>
          <w:tcPr>
            <w:tcW w:w="11624" w:type="dxa"/>
          </w:tcPr>
          <w:p w:rsidR="00F51AFC" w:rsidRPr="00E62009" w:rsidRDefault="008A529D" w:rsidP="00F51AFC">
            <w:pPr>
              <w:pStyle w:val="a3"/>
              <w:spacing w:before="643"/>
              <w:jc w:val="center"/>
              <w:rPr>
                <w:b/>
              </w:rPr>
            </w:pPr>
            <w:r w:rsidRPr="00E62009">
              <w:rPr>
                <w:b/>
              </w:rPr>
              <w:t xml:space="preserve">Разъяснения Министерства образования и науки Российской Федерации по вопросу </w:t>
            </w:r>
            <w:r w:rsidR="00E62009" w:rsidRPr="00E62009">
              <w:rPr>
                <w:b/>
              </w:rPr>
              <w:t xml:space="preserve">исполнения полномочий органами государственной власти субъектов Российской Федерации </w:t>
            </w:r>
            <w:r w:rsidR="00E62009" w:rsidRPr="00E62009">
              <w:rPr>
                <w:b/>
              </w:rPr>
              <w:t>в сфере образования</w:t>
            </w:r>
            <w:r w:rsidR="00E62009" w:rsidRPr="00E62009">
              <w:rPr>
                <w:b/>
              </w:rPr>
              <w:t xml:space="preserve">        в части </w:t>
            </w:r>
            <w:r w:rsidRPr="00E62009">
              <w:rPr>
                <w:b/>
              </w:rPr>
              <w:t xml:space="preserve">целевого расходования бюджетных средств </w:t>
            </w:r>
            <w:r w:rsidR="00F51AFC">
              <w:rPr>
                <w:b/>
              </w:rPr>
              <w:t>(Исх.№</w:t>
            </w:r>
            <w:bookmarkStart w:id="0" w:name="_GoBack"/>
            <w:bookmarkEnd w:id="0"/>
            <w:r w:rsidR="00F51AFC">
              <w:rPr>
                <w:b/>
              </w:rPr>
              <w:t>МОН-П-762 от 2 марта 2016 года)</w:t>
            </w:r>
          </w:p>
        </w:tc>
      </w:tr>
      <w:tr w:rsidR="007F30D7" w:rsidRPr="007F30D7" w:rsidTr="00F51AFC">
        <w:trPr>
          <w:trHeight w:val="929"/>
        </w:trPr>
        <w:tc>
          <w:tcPr>
            <w:tcW w:w="484" w:type="dxa"/>
          </w:tcPr>
          <w:p w:rsidR="007F30D7" w:rsidRPr="007F30D7" w:rsidRDefault="007F30D7" w:rsidP="009B59A9">
            <w:pPr>
              <w:pStyle w:val="a3"/>
              <w:spacing w:before="643"/>
            </w:pPr>
            <w:r w:rsidRPr="007F30D7">
              <w:t>1.</w:t>
            </w:r>
          </w:p>
        </w:tc>
        <w:tc>
          <w:tcPr>
            <w:tcW w:w="3877" w:type="dxa"/>
          </w:tcPr>
          <w:p w:rsidR="007F30D7" w:rsidRPr="007F30D7" w:rsidRDefault="007F30D7" w:rsidP="007F30D7">
            <w:pPr>
              <w:pStyle w:val="a3"/>
              <w:spacing w:before="643"/>
              <w:jc w:val="both"/>
              <w:rPr>
                <w:shd w:val="clear" w:color="auto" w:fill="FEFFFF"/>
              </w:rPr>
            </w:pPr>
            <w:r w:rsidRPr="007F30D7">
              <w:rPr>
                <w:shd w:val="clear" w:color="auto" w:fill="FEFFFF"/>
              </w:rPr>
              <w:t>Какие расходы прямо связаны с обеспечением государственных гарантий реализации прав на получение общедоступного и бесплатного образования, а значит должны быть включены в расчет нормативов для определения размера субвенции, предоставляемой местным бюджетам в соот</w:t>
            </w:r>
            <w:r w:rsidRPr="007F30D7">
              <w:rPr>
                <w:shd w:val="clear" w:color="auto" w:fill="FDFFFF"/>
              </w:rPr>
              <w:t>в</w:t>
            </w:r>
            <w:r w:rsidRPr="007F30D7">
              <w:rPr>
                <w:shd w:val="clear" w:color="auto" w:fill="FEFFFF"/>
              </w:rPr>
              <w:t>етствии с пунктом 3 части 1 статьи 8, частью 2 статьи 99 Федерального закона</w:t>
            </w:r>
            <w:r w:rsidRPr="007F30D7">
              <w:rPr>
                <w:shd w:val="clear" w:color="auto" w:fill="FEFFFF"/>
              </w:rPr>
              <w:br/>
            </w:r>
            <w:r w:rsidRPr="007F30D7">
              <w:rPr>
                <w:iCs/>
                <w:shd w:val="clear" w:color="auto" w:fill="FEFFFF"/>
              </w:rPr>
              <w:t xml:space="preserve">№ </w:t>
            </w:r>
            <w:r w:rsidRPr="007F30D7">
              <w:rPr>
                <w:shd w:val="clear" w:color="auto" w:fill="FEFFFF"/>
              </w:rPr>
              <w:t>273</w:t>
            </w:r>
            <w:r w:rsidRPr="007F30D7">
              <w:rPr>
                <w:shd w:val="clear" w:color="auto" w:fill="FDFFFF"/>
              </w:rPr>
              <w:t>-</w:t>
            </w:r>
            <w:r w:rsidRPr="007F30D7">
              <w:rPr>
                <w:shd w:val="clear" w:color="auto" w:fill="FEFFFF"/>
              </w:rPr>
              <w:t>ФЗ</w:t>
            </w:r>
          </w:p>
        </w:tc>
        <w:tc>
          <w:tcPr>
            <w:tcW w:w="11624" w:type="dxa"/>
            <w:vAlign w:val="center"/>
          </w:tcPr>
          <w:p w:rsidR="007F30D7" w:rsidRPr="007F30D7" w:rsidRDefault="007F30D7" w:rsidP="009B59A9">
            <w:pPr>
              <w:pStyle w:val="a3"/>
              <w:shd w:val="clear" w:color="auto" w:fill="FEFFFF"/>
              <w:tabs>
                <w:tab w:val="left" w:pos="638"/>
                <w:tab w:val="left" w:pos="2073"/>
                <w:tab w:val="left" w:pos="3245"/>
                <w:tab w:val="left" w:pos="3744"/>
                <w:tab w:val="left" w:pos="5261"/>
                <w:tab w:val="left" w:pos="6369"/>
                <w:tab w:val="left" w:pos="6888"/>
                <w:tab w:val="left" w:pos="8846"/>
              </w:tabs>
              <w:ind w:right="9" w:firstLine="709"/>
              <w:jc w:val="both"/>
              <w:rPr>
                <w:shd w:val="clear" w:color="auto" w:fill="FEFFFF"/>
              </w:rPr>
            </w:pPr>
            <w:proofErr w:type="gramStart"/>
            <w:r w:rsidRPr="007F30D7">
              <w:rPr>
                <w:shd w:val="clear" w:color="auto" w:fill="FEFFFF"/>
              </w:rPr>
              <w:t>Согласно пункту 3 части 1 статьи 8 Федерального закона от 29 декабря 2012 г.</w:t>
            </w:r>
            <w:r w:rsidRPr="007F30D7">
              <w:rPr>
                <w:shd w:val="clear" w:color="auto" w:fill="FEFFFF"/>
              </w:rPr>
              <w:br/>
            </w:r>
            <w:r w:rsidRPr="007F30D7">
              <w:rPr>
                <w:iCs/>
                <w:shd w:val="clear" w:color="auto" w:fill="FEFFFF"/>
              </w:rPr>
              <w:t>№</w:t>
            </w:r>
            <w:r w:rsidRPr="007F30D7">
              <w:rPr>
                <w:i/>
                <w:iCs/>
                <w:w w:val="77"/>
                <w:shd w:val="clear" w:color="auto" w:fill="FEFFFF"/>
              </w:rPr>
              <w:t xml:space="preserve"> </w:t>
            </w:r>
            <w:r w:rsidRPr="007F30D7">
              <w:rPr>
                <w:shd w:val="clear" w:color="auto" w:fill="FEFFFF"/>
              </w:rPr>
              <w:t>27З-ФЗ «Об образовании в Российской Федерации» (далее - Закон об образовании) к полномочиям органов государственной власти субъектов Российской Федерации в сфере образования относятся обеспечение государственных гарантий и реализации прав на получение общедоступного 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</w:t>
            </w:r>
            <w:proofErr w:type="gramEnd"/>
            <w:r w:rsidRPr="007F30D7">
              <w:rPr>
                <w:shd w:val="clear" w:color="auto" w:fill="FEFFFF"/>
              </w:rPr>
              <w:t xml:space="preserve">, </w:t>
            </w:r>
            <w:proofErr w:type="gramStart"/>
            <w:r w:rsidRPr="007F30D7">
              <w:rPr>
                <w:shd w:val="clear" w:color="auto" w:fill="FEFFFF"/>
              </w:rPr>
              <w:t>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Федерации.</w:t>
            </w:r>
            <w:proofErr w:type="gramEnd"/>
          </w:p>
          <w:p w:rsidR="007F30D7" w:rsidRPr="007F30D7" w:rsidRDefault="007F30D7" w:rsidP="009B59A9">
            <w:pPr>
              <w:pStyle w:val="a3"/>
              <w:shd w:val="clear" w:color="auto" w:fill="FEFFFF"/>
              <w:spacing w:before="9"/>
              <w:ind w:left="38" w:firstLine="657"/>
              <w:jc w:val="both"/>
              <w:rPr>
                <w:shd w:val="clear" w:color="auto" w:fill="FEFFFF"/>
              </w:rPr>
            </w:pPr>
            <w:proofErr w:type="gramStart"/>
            <w:r w:rsidRPr="007F30D7">
              <w:rPr>
                <w:shd w:val="clear" w:color="auto" w:fill="FEFFFF"/>
              </w:rPr>
              <w:t>При этом частью 2 статьи 99 Закона об образовании установлено, что указанные нормативы определяются по каждому уровню образования в соответствии с федеральными государственными образовательными стандартами, по каждому виду и направленности (профилю) образовательных программ, в том числе с учетом обеспечения дополнительного профессионального образования педагогическим работникам, обеспечения безопасных условий обучения и воспитания, охраны здоровья обучающихся.</w:t>
            </w:r>
            <w:proofErr w:type="gramEnd"/>
          </w:p>
          <w:p w:rsidR="007F30D7" w:rsidRPr="007F30D7" w:rsidRDefault="007F30D7" w:rsidP="009B59A9">
            <w:pPr>
              <w:pStyle w:val="a3"/>
              <w:shd w:val="clear" w:color="auto" w:fill="FEFFFF"/>
              <w:ind w:firstLine="715"/>
              <w:jc w:val="both"/>
              <w:rPr>
                <w:shd w:val="clear" w:color="auto" w:fill="FEFFFF"/>
              </w:rPr>
            </w:pPr>
            <w:r w:rsidRPr="007F30D7">
              <w:rPr>
                <w:shd w:val="clear" w:color="auto" w:fill="FEFFFF"/>
              </w:rPr>
              <w:t>Пунктом 2 части 3 статьи 11 Закона об образовании предусмотрено, что федеральные государственные образовательные стандарты включают в себя, в том числе требования к финансовым условиям реализации основных образовательных программ.</w:t>
            </w:r>
          </w:p>
          <w:p w:rsidR="007F30D7" w:rsidRPr="007F30D7" w:rsidRDefault="007F30D7" w:rsidP="009B59A9">
            <w:pPr>
              <w:pStyle w:val="a3"/>
              <w:shd w:val="clear" w:color="auto" w:fill="FEFFFF"/>
              <w:ind w:firstLine="715"/>
              <w:jc w:val="both"/>
              <w:rPr>
                <w:shd w:val="clear" w:color="auto" w:fill="FEFFFF"/>
              </w:rPr>
            </w:pPr>
            <w:proofErr w:type="gramStart"/>
            <w:r w:rsidRPr="007F30D7">
              <w:rPr>
                <w:shd w:val="clear" w:color="auto" w:fill="FEFFFF"/>
              </w:rPr>
              <w:t>Таким образом, перечень расходов, связанных с обеспечением предусмотренных Законом об образовании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самостоятельно определяется органами государственной власти субъектов Российской Федерации с учетом вышеупомянутых норм Закона об образовании и требований к финансовым условиям реализации основных образовательных программ, определенных в соответствующих федеральных государственных образовательных стандартах.</w:t>
            </w:r>
            <w:proofErr w:type="gramEnd"/>
          </w:p>
          <w:p w:rsidR="007F30D7" w:rsidRPr="007F30D7" w:rsidRDefault="007F30D7" w:rsidP="009B59A9">
            <w:pPr>
              <w:pStyle w:val="a3"/>
              <w:shd w:val="clear" w:color="auto" w:fill="FEFFFF"/>
              <w:ind w:firstLine="715"/>
              <w:jc w:val="both"/>
              <w:rPr>
                <w:shd w:val="clear" w:color="auto" w:fill="FEFFFF"/>
              </w:rPr>
            </w:pPr>
            <w:proofErr w:type="gramStart"/>
            <w:r w:rsidRPr="007F30D7">
              <w:rPr>
                <w:shd w:val="clear" w:color="auto" w:fill="FEFFFF"/>
              </w:rPr>
              <w:t>Так, например, пунктом 3.6.3 федерального государственного образовательного стандарта дошкольного образования, утвержденного приказом Министерства образования и науки Российской Федерации от 17 октября 2013 г. № 1155 (зарегистрирован Министерством юстиции Российской Федерации 14 ноября 2013 г</w:t>
            </w:r>
            <w:r w:rsidRPr="007F30D7">
              <w:rPr>
                <w:w w:val="117"/>
                <w:shd w:val="clear" w:color="auto" w:fill="FEFFFF"/>
              </w:rPr>
              <w:t xml:space="preserve">., </w:t>
            </w:r>
            <w:r w:rsidRPr="007F30D7">
              <w:rPr>
                <w:shd w:val="clear" w:color="auto" w:fill="FEFFFF"/>
              </w:rPr>
              <w:t>регистрационный № 30384), предусмотрено, что нормативы обеспечения государственных гарантий реализации прав на получение общедоступного и бесплатного дошкольного образования определяются в соответствии с федеральным государственным образовательным стандартом дошкольного образования</w:t>
            </w:r>
            <w:proofErr w:type="gramEnd"/>
            <w:r w:rsidRPr="007F30D7">
              <w:rPr>
                <w:shd w:val="clear" w:color="auto" w:fill="FEFFFF"/>
              </w:rPr>
              <w:t xml:space="preserve">, </w:t>
            </w:r>
            <w:proofErr w:type="gramStart"/>
            <w:r w:rsidRPr="007F30D7">
              <w:rPr>
                <w:shd w:val="clear" w:color="auto" w:fill="FEFFFF"/>
              </w:rPr>
              <w:t xml:space="preserve">с учетом типа организации, осуществляющей образовательную деятельность, специальных условий получения образования детьми с ограниченными возможностями здоровья, обеспечения дополнительного профессионального образования педагогических работников, обеспечения безопасных </w:t>
            </w:r>
            <w:r w:rsidRPr="007F30D7">
              <w:rPr>
                <w:shd w:val="clear" w:color="auto" w:fill="FEFFFF"/>
              </w:rPr>
              <w:lastRenderedPageBreak/>
              <w:t>условий обучения и воспитания, охраны здоровья детей, направленности образовательной программы дошкольного образования, категории детей, форм обучения и иных особенностей образовательной деятельности, и должны быть достаточными и необходимыми для осуществления организациями, осуществляющими образовательную деятельность:</w:t>
            </w:r>
            <w:proofErr w:type="gramEnd"/>
          </w:p>
          <w:p w:rsidR="007F30D7" w:rsidRPr="007F30D7" w:rsidRDefault="007F30D7" w:rsidP="009B59A9">
            <w:pPr>
              <w:pStyle w:val="a3"/>
              <w:shd w:val="clear" w:color="auto" w:fill="FEFFFF"/>
              <w:ind w:firstLine="715"/>
              <w:jc w:val="both"/>
              <w:rPr>
                <w:shd w:val="clear" w:color="auto" w:fill="FEFFFF"/>
              </w:rPr>
            </w:pPr>
            <w:r w:rsidRPr="007F30D7">
              <w:rPr>
                <w:shd w:val="clear" w:color="auto" w:fill="FEFFFF"/>
              </w:rPr>
              <w:t>расходов на оплату труда работников, реализующих образовательную программу дошкольного образования;</w:t>
            </w:r>
          </w:p>
          <w:p w:rsidR="007F30D7" w:rsidRPr="007F30D7" w:rsidRDefault="007F30D7" w:rsidP="009B59A9">
            <w:pPr>
              <w:pStyle w:val="a3"/>
              <w:shd w:val="clear" w:color="auto" w:fill="FEFFFF"/>
              <w:ind w:firstLine="715"/>
              <w:jc w:val="both"/>
              <w:rPr>
                <w:shd w:val="clear" w:color="auto" w:fill="FEFFFF"/>
              </w:rPr>
            </w:pPr>
            <w:r w:rsidRPr="007F30D7">
              <w:rPr>
                <w:shd w:val="clear" w:color="auto" w:fill="FEFFFF"/>
              </w:rPr>
              <w:t>расходов на средства обучения и воспитания, соответствующие материалы, в том числе приобретение учебных изданий в бумажном и электронном виде, дидактических материалов, ауди</w:t>
            </w:r>
            <w:proofErr w:type="gramStart"/>
            <w:r w:rsidRPr="007F30D7">
              <w:rPr>
                <w:shd w:val="clear" w:color="auto" w:fill="FEFFFF"/>
              </w:rPr>
              <w:t>о-</w:t>
            </w:r>
            <w:proofErr w:type="gramEnd"/>
            <w:r w:rsidRPr="007F30D7">
              <w:rPr>
                <w:shd w:val="clear" w:color="auto" w:fill="FEFFFF"/>
              </w:rPr>
              <w:t xml:space="preserve"> и видеоматериалов, в том числе материалов, оборудования, спецодежды, игр и игрушек, электронных образовательных ресурсов, необходимых для организации всех видов учебной деятельности и создания развивающей предметно-пространственной среды, в том числе специальных для детей с ограниченными возможностями здоровья;</w:t>
            </w:r>
          </w:p>
          <w:p w:rsidR="007F30D7" w:rsidRPr="007F30D7" w:rsidRDefault="007F30D7" w:rsidP="009B59A9">
            <w:pPr>
              <w:pStyle w:val="a3"/>
              <w:shd w:val="clear" w:color="auto" w:fill="FEFFFF"/>
              <w:tabs>
                <w:tab w:val="left" w:pos="9356"/>
              </w:tabs>
              <w:spacing w:before="48"/>
              <w:ind w:firstLine="715"/>
              <w:jc w:val="both"/>
              <w:rPr>
                <w:shd w:val="clear" w:color="auto" w:fill="FEFFFF"/>
              </w:rPr>
            </w:pPr>
            <w:r w:rsidRPr="007F30D7">
              <w:rPr>
                <w:shd w:val="clear" w:color="auto" w:fill="FEFFFF"/>
              </w:rPr>
              <w:t>расходов, связанных с дополнительным профессиональным образованием руководящих и педагогических работников по профилю их деятельности;</w:t>
            </w:r>
          </w:p>
          <w:p w:rsidR="007F30D7" w:rsidRPr="007F30D7" w:rsidRDefault="007F30D7" w:rsidP="009B59A9">
            <w:pPr>
              <w:pStyle w:val="a3"/>
              <w:shd w:val="clear" w:color="auto" w:fill="FEFFFF"/>
              <w:tabs>
                <w:tab w:val="left" w:pos="9356"/>
              </w:tabs>
              <w:spacing w:before="48"/>
              <w:ind w:left="19" w:firstLine="715"/>
              <w:jc w:val="both"/>
              <w:rPr>
                <w:shd w:val="clear" w:color="auto" w:fill="FEFFFF"/>
              </w:rPr>
            </w:pPr>
            <w:r w:rsidRPr="007F30D7">
              <w:rPr>
                <w:shd w:val="clear" w:color="auto" w:fill="FEFFFF"/>
              </w:rPr>
              <w:t>иных расходов, связанных с реализацией и обеспечением реализации образовательной программы дошкольного образования.</w:t>
            </w:r>
          </w:p>
          <w:p w:rsidR="007F30D7" w:rsidRPr="007F30D7" w:rsidRDefault="007F30D7" w:rsidP="009B59A9">
            <w:pPr>
              <w:pStyle w:val="a3"/>
              <w:shd w:val="clear" w:color="auto" w:fill="FEFFFF"/>
              <w:tabs>
                <w:tab w:val="left" w:pos="9356"/>
              </w:tabs>
              <w:spacing w:before="48"/>
              <w:ind w:left="19" w:firstLine="715"/>
              <w:jc w:val="both"/>
              <w:rPr>
                <w:shd w:val="clear" w:color="auto" w:fill="FEFFFF"/>
              </w:rPr>
            </w:pPr>
            <w:proofErr w:type="gramStart"/>
            <w:r w:rsidRPr="007F30D7">
              <w:rPr>
                <w:shd w:val="clear" w:color="auto" w:fill="FEFFFF"/>
              </w:rPr>
              <w:t>Кроме того, федеральные государственные образовательные стандарты предусматривают материально-технические условия реализации основной образовательной программы, которые должны обеспечивать, помимо прочего, наличие в образовательной организации библиотеки, которая должна быть укомплектована не только печатными и электронными образовательными ресурсами по всем учебным предметам учебного плана, но и иметь фонд дополнительной литературы, включающий художественную и научно-популярную литературу, справочно-библиографические и периодические издания, сопровождающие реализацию соответствующей образовательной программы.</w:t>
            </w:r>
            <w:proofErr w:type="gramEnd"/>
          </w:p>
          <w:p w:rsidR="007F30D7" w:rsidRPr="007F30D7" w:rsidRDefault="007F30D7" w:rsidP="009B59A9">
            <w:pPr>
              <w:pStyle w:val="a3"/>
              <w:shd w:val="clear" w:color="auto" w:fill="FEFFFF"/>
              <w:tabs>
                <w:tab w:val="left" w:pos="9356"/>
              </w:tabs>
              <w:ind w:left="19" w:firstLine="715"/>
              <w:jc w:val="both"/>
              <w:rPr>
                <w:shd w:val="clear" w:color="auto" w:fill="FEFFFF"/>
              </w:rPr>
            </w:pPr>
            <w:r w:rsidRPr="007F30D7">
              <w:rPr>
                <w:shd w:val="clear" w:color="auto" w:fill="FEFFFF"/>
              </w:rPr>
              <w:t xml:space="preserve">Помимо прочего, как следует из части 4 статьи 60 Закона об образовании лицам, успешно прошедшим государственную итоговую аттестацию, выдаются, если иное не установлено Законом об образовании, документы об образовании и </w:t>
            </w:r>
            <w:proofErr w:type="gramStart"/>
            <w:r w:rsidRPr="007F30D7">
              <w:rPr>
                <w:shd w:val="clear" w:color="auto" w:fill="FEFFFF"/>
              </w:rPr>
              <w:t>документы</w:t>
            </w:r>
            <w:proofErr w:type="gramEnd"/>
            <w:r w:rsidRPr="007F30D7">
              <w:rPr>
                <w:shd w:val="clear" w:color="auto" w:fill="FEFFFF"/>
              </w:rPr>
              <w:t xml:space="preserve"> об образовании и о квалификации, образцы которых устанавливаются уполномоченными федеральными органами исполнительной власти. Статьей 59 Закона об образовании предусмотрено, что государственная итоговая аттестация завершает освоение имеющих государственную аккредитацию основных образовательных программ.</w:t>
            </w:r>
          </w:p>
          <w:p w:rsidR="007F30D7" w:rsidRPr="007F30D7" w:rsidRDefault="007F30D7" w:rsidP="007F30D7">
            <w:pPr>
              <w:pStyle w:val="a3"/>
              <w:shd w:val="clear" w:color="auto" w:fill="FEFFFF"/>
              <w:ind w:left="14" w:right="28" w:firstLine="648"/>
              <w:jc w:val="both"/>
            </w:pPr>
            <w:r w:rsidRPr="007F30D7">
              <w:rPr>
                <w:shd w:val="clear" w:color="auto" w:fill="FEFFFF"/>
              </w:rPr>
              <w:t>Таким образом, выдача общеобразовательной организацией документов об образовании является частью деятельности по реализации основных общеобразовательных программ (образовательной деятельности), осуществляемой в соответствии с федеральными государственными образовательными стандартами.</w:t>
            </w:r>
          </w:p>
        </w:tc>
      </w:tr>
      <w:tr w:rsidR="007F30D7" w:rsidRPr="007F30D7" w:rsidTr="00F51AFC">
        <w:trPr>
          <w:trHeight w:val="929"/>
        </w:trPr>
        <w:tc>
          <w:tcPr>
            <w:tcW w:w="484" w:type="dxa"/>
          </w:tcPr>
          <w:p w:rsidR="007F30D7" w:rsidRPr="007F30D7" w:rsidRDefault="007F30D7" w:rsidP="009B59A9">
            <w:pPr>
              <w:pStyle w:val="a3"/>
              <w:spacing w:before="643"/>
            </w:pPr>
            <w:r w:rsidRPr="007F30D7">
              <w:lastRenderedPageBreak/>
              <w:t>2.</w:t>
            </w:r>
          </w:p>
        </w:tc>
        <w:tc>
          <w:tcPr>
            <w:tcW w:w="3877" w:type="dxa"/>
          </w:tcPr>
          <w:p w:rsidR="007F30D7" w:rsidRPr="007F30D7" w:rsidRDefault="007F30D7" w:rsidP="007F30D7">
            <w:pPr>
              <w:pStyle w:val="a3"/>
              <w:spacing w:before="643"/>
              <w:jc w:val="both"/>
            </w:pPr>
            <w:r w:rsidRPr="007F30D7">
              <w:rPr>
                <w:shd w:val="clear" w:color="auto" w:fill="FEFFFF"/>
              </w:rPr>
              <w:t xml:space="preserve">За счет средств </w:t>
            </w:r>
            <w:proofErr w:type="gramStart"/>
            <w:r w:rsidRPr="007F30D7">
              <w:rPr>
                <w:shd w:val="clear" w:color="auto" w:fill="FEFFFF"/>
              </w:rPr>
              <w:t>бюджета</w:t>
            </w:r>
            <w:proofErr w:type="gramEnd"/>
            <w:r w:rsidRPr="007F30D7">
              <w:rPr>
                <w:shd w:val="clear" w:color="auto" w:fill="FEFFFF"/>
              </w:rPr>
              <w:t xml:space="preserve"> какого уровня (регионального или местного) должны оплачиваться расходы образовательных </w:t>
            </w:r>
            <w:r w:rsidRPr="007F30D7">
              <w:rPr>
                <w:shd w:val="clear" w:color="auto" w:fill="FEFFFF"/>
              </w:rPr>
              <w:lastRenderedPageBreak/>
              <w:t>организаций дошкольного и общего образования на приобретение мебели, учебных кабинетов, включая лингафонные кабинеты или компьютерные классы, художественной литературы, оборудования для медицинских кабинетов и столовых, оплату стоимости проезда и провоза багажа в пределах территории Российской Федерации к месту использования отпуска и обратно в соответствии со статьей 325 Трудового кодекса Российской Федерации, расходы на командировки, приобретение документов об образовании, услуги связи, приобретение и обслуживание программных продуктов для бухгалтерского учета, справочных правовых систем, услуги охранных учреждений, штрафы и пени</w:t>
            </w:r>
          </w:p>
        </w:tc>
        <w:tc>
          <w:tcPr>
            <w:tcW w:w="11624" w:type="dxa"/>
            <w:vAlign w:val="center"/>
          </w:tcPr>
          <w:p w:rsidR="007F30D7" w:rsidRPr="007F30D7" w:rsidRDefault="007F30D7" w:rsidP="009B59A9">
            <w:pPr>
              <w:pStyle w:val="a3"/>
              <w:shd w:val="clear" w:color="auto" w:fill="FEFFFF"/>
              <w:spacing w:before="52"/>
              <w:ind w:right="28" w:firstLine="662"/>
              <w:jc w:val="both"/>
              <w:rPr>
                <w:shd w:val="clear" w:color="auto" w:fill="FEFFFF"/>
              </w:rPr>
            </w:pPr>
            <w:r w:rsidRPr="007F30D7">
              <w:rPr>
                <w:shd w:val="clear" w:color="auto" w:fill="FEFFFF"/>
              </w:rPr>
              <w:lastRenderedPageBreak/>
              <w:t>За счет средств бюджетов субъектов Российской Федерации осуществляются следующие расходы образовательной организации:</w:t>
            </w:r>
          </w:p>
          <w:p w:rsidR="007F30D7" w:rsidRPr="007F30D7" w:rsidRDefault="007F30D7" w:rsidP="009B59A9">
            <w:pPr>
              <w:pStyle w:val="a3"/>
              <w:shd w:val="clear" w:color="auto" w:fill="FEFFFF"/>
              <w:spacing w:before="52"/>
              <w:ind w:right="28" w:firstLine="662"/>
              <w:jc w:val="both"/>
              <w:rPr>
                <w:shd w:val="clear" w:color="auto" w:fill="FEFFFF"/>
              </w:rPr>
            </w:pPr>
            <w:r w:rsidRPr="007F30D7">
              <w:rPr>
                <w:shd w:val="clear" w:color="auto" w:fill="FEFFFF"/>
              </w:rPr>
              <w:t>расходы, связанные с обеспечением безопасных условий обучения и воспитания, охраной здоровья обучающихся (в том числе, расходы на приобретение оборудования для медицинских кабинетов и столовой, услуги охранных учреждений);</w:t>
            </w:r>
          </w:p>
          <w:p w:rsidR="007F30D7" w:rsidRPr="007F30D7" w:rsidRDefault="007F30D7" w:rsidP="009B59A9">
            <w:pPr>
              <w:pStyle w:val="a3"/>
              <w:shd w:val="clear" w:color="auto" w:fill="FEFFFF"/>
              <w:spacing w:before="52"/>
              <w:ind w:right="28" w:firstLine="662"/>
              <w:jc w:val="both"/>
              <w:rPr>
                <w:shd w:val="clear" w:color="auto" w:fill="FEFFFF"/>
              </w:rPr>
            </w:pPr>
            <w:r w:rsidRPr="007F30D7">
              <w:rPr>
                <w:shd w:val="clear" w:color="auto" w:fill="FEFFFF"/>
              </w:rPr>
              <w:t xml:space="preserve">расходы, непосредственно связанные с реализацией и обеспечением реализации образовательных </w:t>
            </w:r>
            <w:r w:rsidRPr="007F30D7">
              <w:rPr>
                <w:shd w:val="clear" w:color="auto" w:fill="FEFFFF"/>
              </w:rPr>
              <w:lastRenderedPageBreak/>
              <w:t>программ (в том числе, расходы на приобретение используемых в образовательном процессе мебели, учебных кабинетов и оборудования, расходы, связанные с финансированием комплектования библиотек художественной литературой и приобретением или изготовлением бланков документов об образовании);</w:t>
            </w:r>
          </w:p>
          <w:p w:rsidR="007F30D7" w:rsidRPr="007F30D7" w:rsidRDefault="007F30D7" w:rsidP="009B59A9">
            <w:pPr>
              <w:pStyle w:val="a3"/>
              <w:spacing w:before="643"/>
              <w:jc w:val="both"/>
            </w:pPr>
            <w:proofErr w:type="gramStart"/>
            <w:r w:rsidRPr="007F30D7">
              <w:rPr>
                <w:shd w:val="clear" w:color="auto" w:fill="FEFFFF"/>
              </w:rPr>
              <w:t>иные расходы, связанные с реализацией и обеспечением реализации образовательных программ (командировочные расходы педагогических работников образовательных организаций, направленных для прохождения курсов повышения квалификации, расходы на оплату стоимости проезда и провоза багажа в пределах территории Российской Федерации к месту использования отпуска и обратно в соответствии со статьей 325 Трудового кодекса Российской Федерации, расходы на услуги связи, приобретение и обслуживание программных продуктов для</w:t>
            </w:r>
            <w:proofErr w:type="gramEnd"/>
            <w:r w:rsidRPr="007F30D7">
              <w:rPr>
                <w:shd w:val="clear" w:color="auto" w:fill="FEFFFF"/>
              </w:rPr>
              <w:t xml:space="preserve"> бухгалтерского учета, справочных правовых систем, оплату пеней и штрафов (за исключением случаев, когда такие расходы связаны с содержанием зданий и оплатой коммунальных услуг)).</w:t>
            </w:r>
          </w:p>
        </w:tc>
      </w:tr>
      <w:tr w:rsidR="007F30D7" w:rsidRPr="007F30D7" w:rsidTr="00F51AFC">
        <w:trPr>
          <w:trHeight w:val="945"/>
        </w:trPr>
        <w:tc>
          <w:tcPr>
            <w:tcW w:w="484" w:type="dxa"/>
          </w:tcPr>
          <w:p w:rsidR="007F30D7" w:rsidRPr="007F30D7" w:rsidRDefault="007F30D7" w:rsidP="009B59A9">
            <w:pPr>
              <w:pStyle w:val="a3"/>
              <w:spacing w:before="643"/>
            </w:pPr>
            <w:r w:rsidRPr="007F30D7">
              <w:lastRenderedPageBreak/>
              <w:t>3.</w:t>
            </w:r>
          </w:p>
        </w:tc>
        <w:tc>
          <w:tcPr>
            <w:tcW w:w="3877" w:type="dxa"/>
          </w:tcPr>
          <w:p w:rsidR="007F30D7" w:rsidRPr="007F30D7" w:rsidRDefault="007F30D7" w:rsidP="007F30D7">
            <w:pPr>
              <w:pStyle w:val="a3"/>
              <w:spacing w:before="643"/>
              <w:jc w:val="both"/>
            </w:pPr>
            <w:r w:rsidRPr="007F30D7">
              <w:rPr>
                <w:shd w:val="clear" w:color="auto" w:fill="FEFFFF"/>
              </w:rPr>
              <w:t xml:space="preserve">Какие расходы обязаны нести органы местного самоуправления муниципальных образований в соответствии с установленными Федеральным законом </w:t>
            </w:r>
            <w:r w:rsidRPr="007F30D7">
              <w:rPr>
                <w:iCs/>
                <w:shd w:val="clear" w:color="auto" w:fill="FEFFFF"/>
              </w:rPr>
              <w:t xml:space="preserve">№ </w:t>
            </w:r>
            <w:r w:rsidRPr="007F30D7">
              <w:rPr>
                <w:shd w:val="clear" w:color="auto" w:fill="FEFFFF"/>
              </w:rPr>
              <w:t>273-Ф3 полномочиями в сфере общего и дошкольного образования</w:t>
            </w:r>
          </w:p>
        </w:tc>
        <w:tc>
          <w:tcPr>
            <w:tcW w:w="11624" w:type="dxa"/>
            <w:vAlign w:val="center"/>
          </w:tcPr>
          <w:p w:rsidR="007F30D7" w:rsidRPr="007F30D7" w:rsidRDefault="007F30D7" w:rsidP="009B59A9">
            <w:pPr>
              <w:pStyle w:val="a3"/>
              <w:shd w:val="clear" w:color="auto" w:fill="FEFFFF"/>
              <w:ind w:firstLine="715"/>
              <w:jc w:val="both"/>
              <w:rPr>
                <w:shd w:val="clear" w:color="auto" w:fill="FEFFFF"/>
              </w:rPr>
            </w:pPr>
            <w:proofErr w:type="gramStart"/>
            <w:r w:rsidRPr="007F30D7">
              <w:rPr>
                <w:shd w:val="clear" w:color="auto" w:fill="FEFFFF"/>
              </w:rPr>
              <w:t>Пунктом 1 части 1 статьи 9 Закона об образовании предусмотрено, что к полномочиям органов местного самоуправления муниципальных районов и городских округов в сфере образования относятся, в том числе организация предоставления общедоступного и  бесплатного дошкольного, начального общего, основного 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</w:t>
            </w:r>
            <w:proofErr w:type="gramEnd"/>
            <w:r w:rsidRPr="007F30D7">
              <w:rPr>
                <w:shd w:val="clear" w:color="auto" w:fill="FEFFFF"/>
              </w:rPr>
              <w:t xml:space="preserve"> </w:t>
            </w:r>
            <w:proofErr w:type="gramStart"/>
            <w:r w:rsidRPr="007F30D7">
              <w:rPr>
                <w:shd w:val="clear" w:color="auto" w:fill="FEFFFF"/>
              </w:rPr>
              <w:t>соответствии</w:t>
            </w:r>
            <w:proofErr w:type="gramEnd"/>
            <w:r w:rsidRPr="007F30D7">
              <w:rPr>
                <w:shd w:val="clear" w:color="auto" w:fill="FEFFFF"/>
              </w:rPr>
              <w:t xml:space="preserve"> с федеральными государственными образовательными стандартами, которые в соответствии с пунктом 3 части 1 статьи 8 Закона об образовании осуществляются за счет средств бюджетов субъектов Российской Федерации).</w:t>
            </w:r>
          </w:p>
          <w:p w:rsidR="007F30D7" w:rsidRPr="007F30D7" w:rsidRDefault="007F30D7" w:rsidP="009B59A9">
            <w:pPr>
              <w:pStyle w:val="a3"/>
              <w:ind w:firstLine="720"/>
              <w:jc w:val="both"/>
              <w:rPr>
                <w:shd w:val="clear" w:color="auto" w:fill="FEFFFF"/>
              </w:rPr>
            </w:pPr>
            <w:r w:rsidRPr="007F30D7">
              <w:rPr>
                <w:shd w:val="clear" w:color="auto" w:fill="FEFFFF"/>
              </w:rPr>
              <w:t>В силу пункта 1 части 5 статьи 9 Закона об образовании во взаимосвязи с пунктом 3 части 1 статьи 8 Закона об образовании органы местного самоуправления несут расходы, связанные с содержанием зданий и оплатой коммунальных услуг в муниципальных дошкольных образовательных организациях и общеобразовательных организациях.</w:t>
            </w:r>
          </w:p>
          <w:p w:rsidR="007F30D7" w:rsidRPr="007F30D7" w:rsidRDefault="007F30D7" w:rsidP="009B59A9">
            <w:pPr>
              <w:pStyle w:val="a3"/>
              <w:ind w:firstLine="720"/>
              <w:jc w:val="both"/>
            </w:pPr>
            <w:r w:rsidRPr="007F30D7">
              <w:rPr>
                <w:shd w:val="clear" w:color="auto" w:fill="FEFFFF"/>
              </w:rPr>
              <w:t>Кроме того, органы местного самоуправления несут расходы, связанные с созданием условий для осуществления присмотра и ухода за детьми, содержания детей в муниципальных образовательных организациях (пункт 3 части 1 статьи 9 Закона об образовании).</w:t>
            </w:r>
          </w:p>
        </w:tc>
      </w:tr>
    </w:tbl>
    <w:p w:rsidR="00323B51" w:rsidRPr="007F30D7" w:rsidRDefault="00323B51">
      <w:pPr>
        <w:rPr>
          <w:sz w:val="24"/>
          <w:szCs w:val="24"/>
        </w:rPr>
      </w:pPr>
    </w:p>
    <w:sectPr w:rsidR="00323B51" w:rsidRPr="007F30D7" w:rsidSect="007F30D7">
      <w:pgSz w:w="16838" w:h="11906" w:orient="landscape"/>
      <w:pgMar w:top="426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0D7"/>
    <w:rsid w:val="000376AF"/>
    <w:rsid w:val="001917F1"/>
    <w:rsid w:val="001A0564"/>
    <w:rsid w:val="001D49CD"/>
    <w:rsid w:val="00323B51"/>
    <w:rsid w:val="004962CF"/>
    <w:rsid w:val="00582038"/>
    <w:rsid w:val="00612EAE"/>
    <w:rsid w:val="00634E62"/>
    <w:rsid w:val="006612B4"/>
    <w:rsid w:val="0075606F"/>
    <w:rsid w:val="007E1DB3"/>
    <w:rsid w:val="007F30D7"/>
    <w:rsid w:val="008A529D"/>
    <w:rsid w:val="008F26E8"/>
    <w:rsid w:val="00957B1F"/>
    <w:rsid w:val="00973B8E"/>
    <w:rsid w:val="009C6CBF"/>
    <w:rsid w:val="00A42551"/>
    <w:rsid w:val="00A95394"/>
    <w:rsid w:val="00AF78EA"/>
    <w:rsid w:val="00C362EE"/>
    <w:rsid w:val="00DF1D8F"/>
    <w:rsid w:val="00E62009"/>
    <w:rsid w:val="00E66BC0"/>
    <w:rsid w:val="00F51AFC"/>
    <w:rsid w:val="00FF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0D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7F30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F30D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0D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7F30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F30D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1504</Words>
  <Characters>8577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LazhskayaEA</dc:creator>
  <cp:lastModifiedBy>SklyarovaMS</cp:lastModifiedBy>
  <cp:revision>4</cp:revision>
  <dcterms:created xsi:type="dcterms:W3CDTF">2016-03-28T08:09:00Z</dcterms:created>
  <dcterms:modified xsi:type="dcterms:W3CDTF">2016-03-28T08:15:00Z</dcterms:modified>
</cp:coreProperties>
</file>